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rPr>
          <w:rFonts w:ascii="黑体" w:hAnsi="黑体" w:eastAsia="黑体"/>
          <w:sz w:val="28"/>
          <w:szCs w:val="28"/>
        </w:rPr>
      </w:pPr>
    </w:p>
    <w:p>
      <w:pPr>
        <w:spacing w:after="312" w:afterLines="100"/>
        <w:jc w:val="center"/>
        <w:rPr>
          <w:rFonts w:asciiTheme="minorEastAsia" w:hAnsiTheme="minorEastAsia"/>
          <w:b/>
          <w:sz w:val="40"/>
        </w:rPr>
      </w:pPr>
      <w:r>
        <w:rPr>
          <w:rFonts w:hint="eastAsia" w:asciiTheme="minorEastAsia" w:hAnsiTheme="minorEastAsia"/>
          <w:b/>
          <w:sz w:val="40"/>
        </w:rPr>
        <w:t>财务管理</w:t>
      </w:r>
      <w:r>
        <w:rPr>
          <w:rFonts w:asciiTheme="minorEastAsia" w:hAnsiTheme="minorEastAsia"/>
          <w:b/>
          <w:sz w:val="40"/>
        </w:rPr>
        <w:t>专业</w:t>
      </w:r>
      <w:r>
        <w:rPr>
          <w:rFonts w:hint="eastAsia" w:asciiTheme="minorEastAsia" w:hAnsiTheme="minorEastAsia"/>
          <w:b/>
          <w:sz w:val="40"/>
        </w:rPr>
        <w:t>（辅修）</w:t>
      </w:r>
      <w:r>
        <w:rPr>
          <w:rFonts w:asciiTheme="minorEastAsia" w:hAnsiTheme="minorEastAsia"/>
          <w:b/>
          <w:sz w:val="40"/>
        </w:rPr>
        <w:t>培养方案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一、专业名称： </w:t>
      </w:r>
      <w:r>
        <w:rPr>
          <w:rFonts w:hint="eastAsia" w:eastAsia="黑体"/>
          <w:sz w:val="24"/>
        </w:rPr>
        <w:t>财务管理</w:t>
      </w:r>
    </w:p>
    <w:p>
      <w:pPr>
        <w:spacing w:line="360" w:lineRule="auto"/>
        <w:ind w:firstLine="960" w:firstLineChars="400"/>
        <w:rPr>
          <w:rFonts w:eastAsia="黑体"/>
          <w:sz w:val="24"/>
        </w:rPr>
      </w:pPr>
      <w:r>
        <w:rPr>
          <w:rFonts w:eastAsia="黑体"/>
          <w:sz w:val="24"/>
        </w:rPr>
        <w:t>专业代码：</w:t>
      </w:r>
      <w:r>
        <w:rPr>
          <w:rFonts w:hint="eastAsia" w:eastAsia="黑体"/>
          <w:sz w:val="24"/>
        </w:rPr>
        <w:t>1</w:t>
      </w:r>
      <w:r>
        <w:rPr>
          <w:rFonts w:eastAsia="黑体"/>
          <w:sz w:val="24"/>
        </w:rPr>
        <w:t>20204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二、</w:t>
      </w:r>
      <w:r>
        <w:rPr>
          <w:rFonts w:hint="eastAsia" w:eastAsia="黑体"/>
          <w:sz w:val="24"/>
        </w:rPr>
        <w:t>学习年限</w:t>
      </w:r>
      <w:r>
        <w:rPr>
          <w:rFonts w:eastAsia="黑体"/>
          <w:sz w:val="24"/>
        </w:rPr>
        <w:t>：</w:t>
      </w:r>
      <w:r>
        <w:rPr>
          <w:rFonts w:hint="eastAsia" w:hAnsi="宋体"/>
          <w:sz w:val="24"/>
        </w:rPr>
        <w:t>2.5</w:t>
      </w:r>
      <w:r>
        <w:rPr>
          <w:rFonts w:hAnsi="宋体"/>
          <w:sz w:val="24"/>
        </w:rPr>
        <w:t>年</w:t>
      </w:r>
      <w:r>
        <w:rPr>
          <w:rFonts w:hint="eastAsia" w:hAnsi="宋体"/>
          <w:sz w:val="24"/>
        </w:rPr>
        <w:t>（第4</w:t>
      </w:r>
      <w:r>
        <w:rPr>
          <w:rFonts w:hint="eastAsia" w:ascii="宋体" w:hAnsi="宋体" w:eastAsia="宋体"/>
          <w:sz w:val="24"/>
        </w:rPr>
        <w:t>～</w:t>
      </w:r>
      <w:r>
        <w:rPr>
          <w:rFonts w:hint="eastAsia" w:hAnsi="宋体"/>
          <w:sz w:val="24"/>
        </w:rPr>
        <w:t>8学期）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三、授予学位： </w:t>
      </w:r>
      <w:r>
        <w:rPr>
          <w:rFonts w:hint="eastAsia" w:hAnsi="宋体"/>
          <w:sz w:val="24"/>
        </w:rPr>
        <w:t>管理学学士学位</w:t>
      </w:r>
    </w:p>
    <w:p>
      <w:pPr>
        <w:spacing w:line="360" w:lineRule="auto"/>
        <w:ind w:firstLine="465"/>
        <w:rPr>
          <w:rFonts w:eastAsia="黑体"/>
          <w:sz w:val="24"/>
        </w:rPr>
      </w:pPr>
      <w:r>
        <w:rPr>
          <w:rFonts w:hint="eastAsia" w:eastAsia="黑体"/>
          <w:sz w:val="24"/>
        </w:rPr>
        <w:t>四</w:t>
      </w:r>
      <w:r>
        <w:rPr>
          <w:rFonts w:eastAsia="黑体"/>
          <w:sz w:val="24"/>
        </w:rPr>
        <w:t>、培养目标</w:t>
      </w:r>
      <w:r>
        <w:rPr>
          <w:rFonts w:hint="eastAsia" w:eastAsia="黑体"/>
          <w:sz w:val="24"/>
        </w:rPr>
        <w:t>：</w:t>
      </w:r>
      <w:r>
        <w:rPr>
          <w:rFonts w:hint="eastAsia" w:eastAsia="黑体"/>
          <w:sz w:val="24"/>
          <w:lang w:val="en-US" w:eastAsia="zh-CN"/>
        </w:rPr>
        <w:t>在主修专业基础上，</w:t>
      </w:r>
      <w:r>
        <w:rPr>
          <w:rFonts w:hint="eastAsia" w:eastAsia="黑体"/>
          <w:sz w:val="24"/>
          <w:highlight w:val="yellow"/>
        </w:rPr>
        <w:t>培养</w:t>
      </w:r>
      <w:r>
        <w:rPr>
          <w:rFonts w:hint="eastAsia" w:eastAsia="黑体"/>
          <w:sz w:val="24"/>
          <w:highlight w:val="yellow"/>
          <w:lang w:val="en-US" w:eastAsia="zh-CN"/>
        </w:rPr>
        <w:t>辅修学生</w:t>
      </w:r>
      <w:r>
        <w:rPr>
          <w:rFonts w:hint="eastAsia" w:eastAsia="黑体"/>
          <w:sz w:val="24"/>
          <w:highlight w:val="yellow"/>
        </w:rPr>
        <w:t>具有</w:t>
      </w:r>
      <w:r>
        <w:rPr>
          <w:rFonts w:hint="eastAsia" w:eastAsia="黑体"/>
          <w:sz w:val="24"/>
          <w:highlight w:val="yellow"/>
          <w:lang w:val="en-US" w:eastAsia="zh-CN"/>
        </w:rPr>
        <w:t>较好</w:t>
      </w:r>
      <w:r>
        <w:rPr>
          <w:rFonts w:hint="eastAsia" w:eastAsia="黑体"/>
          <w:sz w:val="24"/>
          <w:highlight w:val="yellow"/>
        </w:rPr>
        <w:t>的现代市场经济及管理理论基础，掌握会计、财务管理、投资</w:t>
      </w:r>
      <w:r>
        <w:rPr>
          <w:rFonts w:hint="eastAsia" w:eastAsia="黑体"/>
          <w:sz w:val="24"/>
          <w:highlight w:val="yellow"/>
          <w:lang w:val="en-US" w:eastAsia="zh-CN"/>
        </w:rPr>
        <w:t>等</w:t>
      </w:r>
      <w:r>
        <w:rPr>
          <w:rFonts w:hint="eastAsia" w:eastAsia="黑体"/>
          <w:sz w:val="24"/>
          <w:highlight w:val="yellow"/>
        </w:rPr>
        <w:t>基本理论，具备财务分析、税务筹划、投资决策等基本能力，</w:t>
      </w:r>
      <w:r>
        <w:rPr>
          <w:rFonts w:hint="eastAsia" w:eastAsia="黑体"/>
          <w:sz w:val="24"/>
          <w:highlight w:val="yellow"/>
          <w:lang w:val="en-US" w:eastAsia="zh-CN"/>
        </w:rPr>
        <w:t>了解</w:t>
      </w:r>
      <w:r>
        <w:rPr>
          <w:rFonts w:hint="eastAsia" w:eastAsia="黑体"/>
          <w:sz w:val="24"/>
          <w:highlight w:val="yellow"/>
        </w:rPr>
        <w:t>国家财务管理</w:t>
      </w:r>
      <w:r>
        <w:rPr>
          <w:rFonts w:hint="eastAsia" w:eastAsia="黑体"/>
          <w:sz w:val="24"/>
          <w:highlight w:val="yellow"/>
          <w:lang w:val="en-US" w:eastAsia="zh-CN"/>
        </w:rPr>
        <w:t>相关</w:t>
      </w:r>
      <w:r>
        <w:rPr>
          <w:rFonts w:hint="eastAsia" w:eastAsia="黑体"/>
          <w:sz w:val="24"/>
          <w:highlight w:val="yellow"/>
        </w:rPr>
        <w:t>的法律法规，</w:t>
      </w:r>
      <w:r>
        <w:rPr>
          <w:rFonts w:hint="eastAsia" w:eastAsia="黑体"/>
          <w:sz w:val="24"/>
          <w:highlight w:val="yellow"/>
          <w:lang w:val="en-US" w:eastAsia="zh-CN"/>
        </w:rPr>
        <w:t>能够从事</w:t>
      </w:r>
      <w:r>
        <w:rPr>
          <w:rFonts w:hint="eastAsia" w:eastAsia="黑体"/>
          <w:sz w:val="24"/>
          <w:highlight w:val="yellow"/>
        </w:rPr>
        <w:t>财务管理、</w:t>
      </w:r>
      <w:r>
        <w:rPr>
          <w:rFonts w:hint="eastAsia" w:eastAsia="黑体"/>
          <w:sz w:val="24"/>
          <w:highlight w:val="yellow"/>
          <w:lang w:val="en-US" w:eastAsia="zh-CN"/>
        </w:rPr>
        <w:t>投资决策</w:t>
      </w:r>
      <w:r>
        <w:rPr>
          <w:rFonts w:hint="eastAsia" w:eastAsia="黑体"/>
          <w:sz w:val="24"/>
          <w:highlight w:val="yellow"/>
        </w:rPr>
        <w:t>、税务筹划等</w:t>
      </w:r>
      <w:bookmarkStart w:id="0" w:name="_GoBack"/>
      <w:bookmarkEnd w:id="0"/>
      <w:r>
        <w:rPr>
          <w:rFonts w:hint="eastAsia" w:eastAsia="黑体"/>
          <w:sz w:val="24"/>
          <w:highlight w:val="yellow"/>
          <w:lang w:val="en-US" w:eastAsia="zh-CN"/>
        </w:rPr>
        <w:t>基础性</w:t>
      </w:r>
      <w:r>
        <w:rPr>
          <w:rFonts w:hint="eastAsia" w:eastAsia="黑体"/>
          <w:sz w:val="24"/>
          <w:highlight w:val="yellow"/>
        </w:rPr>
        <w:t>工作的</w:t>
      </w:r>
      <w:r>
        <w:rPr>
          <w:rFonts w:hint="eastAsia" w:eastAsia="黑体"/>
          <w:sz w:val="24"/>
          <w:highlight w:val="yellow"/>
          <w:lang w:val="en-US" w:eastAsia="zh-CN"/>
        </w:rPr>
        <w:t>辅修专业</w:t>
      </w:r>
      <w:r>
        <w:rPr>
          <w:rFonts w:hint="eastAsia" w:eastAsia="黑体"/>
          <w:sz w:val="24"/>
          <w:highlight w:val="yellow"/>
        </w:rPr>
        <w:t>人才。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4"/>
        </w:rPr>
        <w:t>五</w:t>
      </w:r>
      <w:r>
        <w:rPr>
          <w:rFonts w:eastAsia="黑体"/>
          <w:sz w:val="24"/>
        </w:rPr>
        <w:t>、教学与课程一览表（见附表1）</w:t>
      </w:r>
    </w:p>
    <w:p>
      <w:pPr>
        <w:spacing w:line="360" w:lineRule="auto"/>
        <w:rPr>
          <w:rFonts w:eastAsia="黑体"/>
          <w:sz w:val="24"/>
        </w:rPr>
      </w:pPr>
      <w:r>
        <w:rPr>
          <w:rFonts w:eastAsia="黑体"/>
          <w:sz w:val="24"/>
        </w:rPr>
        <w:t xml:space="preserve">    </w:t>
      </w:r>
      <w:r>
        <w:rPr>
          <w:rFonts w:hint="eastAsia" w:eastAsia="黑体"/>
          <w:sz w:val="24"/>
        </w:rPr>
        <w:t>六</w:t>
      </w:r>
      <w:r>
        <w:rPr>
          <w:rFonts w:eastAsia="黑体"/>
          <w:sz w:val="24"/>
        </w:rPr>
        <w:t>、教学进程表（见附表2）</w:t>
      </w:r>
    </w:p>
    <w:p>
      <w:pPr>
        <w:spacing w:line="360" w:lineRule="auto"/>
        <w:ind w:firstLine="3600" w:firstLineChars="1500"/>
        <w:rPr>
          <w:sz w:val="24"/>
        </w:rPr>
      </w:pPr>
    </w:p>
    <w:p>
      <w:pPr>
        <w:rPr>
          <w:rFonts w:ascii="黑体" w:eastAsia="黑体"/>
          <w:sz w:val="32"/>
        </w:rPr>
      </w:pPr>
      <w:r>
        <w:rPr>
          <w:rFonts w:ascii="黑体" w:hAnsi="宋体" w:eastAsia="黑体"/>
          <w:sz w:val="32"/>
        </w:rPr>
        <w:br w:type="page"/>
      </w:r>
      <w:r>
        <w:rPr>
          <w:rFonts w:hint="eastAsia" w:ascii="黑体" w:hAnsi="宋体" w:eastAsia="黑体"/>
          <w:sz w:val="32"/>
        </w:rPr>
        <w:t>附表</w:t>
      </w:r>
      <w:r>
        <w:rPr>
          <w:rFonts w:hint="eastAsia" w:ascii="黑体" w:eastAsia="黑体"/>
          <w:sz w:val="32"/>
        </w:rPr>
        <w:t>1</w:t>
      </w:r>
    </w:p>
    <w:p>
      <w:pPr>
        <w:spacing w:before="312" w:beforeLines="100" w:after="156" w:afterLines="50"/>
        <w:jc w:val="center"/>
        <w:rPr>
          <w:rFonts w:ascii="方正小标宋简体" w:eastAsia="方正小标宋简体"/>
          <w:b/>
          <w:sz w:val="36"/>
        </w:rPr>
      </w:pPr>
      <w:r>
        <w:rPr>
          <w:rFonts w:hint="eastAsia" w:ascii="方正小标宋简体" w:eastAsia="方正小标宋简体"/>
          <w:b/>
          <w:sz w:val="36"/>
        </w:rPr>
        <w:t>财务管理专业（辅修）教学与课程一览表</w:t>
      </w:r>
    </w:p>
    <w:p>
      <w:pPr>
        <w:rPr>
          <w:sz w:val="24"/>
        </w:rPr>
      </w:pPr>
    </w:p>
    <w:tbl>
      <w:tblPr>
        <w:tblStyle w:val="9"/>
        <w:tblW w:w="91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1097"/>
        <w:gridCol w:w="4289"/>
        <w:gridCol w:w="1134"/>
        <w:gridCol w:w="851"/>
        <w:gridCol w:w="8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2002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sz w:val="24"/>
              </w:rPr>
              <w:br w:type="page"/>
            </w:r>
            <w:r>
              <w:rPr>
                <w:rFonts w:hint="eastAsia" w:ascii="黑体" w:hAnsi="宋体" w:eastAsia="黑体"/>
                <w:szCs w:val="21"/>
              </w:rPr>
              <w:t>课程模块类别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学分</w:t>
            </w:r>
            <w:r>
              <w:rPr>
                <w:rFonts w:hint="eastAsia" w:ascii="黑体" w:eastAsia="黑体"/>
                <w:szCs w:val="21"/>
              </w:rPr>
              <w:t>/</w:t>
            </w:r>
          </w:p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学时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开课   学期</w:t>
            </w:r>
          </w:p>
        </w:tc>
        <w:tc>
          <w:tcPr>
            <w:tcW w:w="84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要求  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restart"/>
            <w:vAlign w:val="center"/>
          </w:tcPr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第</w:t>
            </w:r>
          </w:p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一</w:t>
            </w:r>
          </w:p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课</w:t>
            </w:r>
          </w:p>
          <w:p>
            <w:pPr>
              <w:ind w:left="-409" w:leftChars="-195" w:firstLine="409" w:firstLineChars="195"/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堂</w:t>
            </w: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</w:pPr>
            <w:r>
              <w:t>学</w:t>
            </w:r>
          </w:p>
          <w:p>
            <w:pPr>
              <w:jc w:val="center"/>
            </w:pPr>
            <w:r>
              <w:t>科</w:t>
            </w:r>
          </w:p>
          <w:p>
            <w:pPr>
              <w:jc w:val="center"/>
            </w:pPr>
            <w:r>
              <w:t>基</w:t>
            </w:r>
          </w:p>
          <w:p>
            <w:pPr>
              <w:jc w:val="center"/>
            </w:pPr>
            <w:r>
              <w:t>础</w:t>
            </w:r>
          </w:p>
          <w:p>
            <w:pPr>
              <w:jc w:val="center"/>
            </w:pPr>
            <w:r>
              <w:t>课</w:t>
            </w:r>
          </w:p>
          <w:p>
            <w:pPr>
              <w:jc w:val="center"/>
              <w:rPr>
                <w:szCs w:val="21"/>
              </w:rPr>
            </w:pPr>
            <w:r>
              <w:t>程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管理学原理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/48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84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会计学</w:t>
            </w:r>
          </w:p>
        </w:tc>
        <w:tc>
          <w:tcPr>
            <w:tcW w:w="1134" w:type="dxa"/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/48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财务管理</w:t>
            </w:r>
          </w:p>
        </w:tc>
        <w:tc>
          <w:tcPr>
            <w:tcW w:w="1134" w:type="dxa"/>
            <w:vAlign w:val="center"/>
          </w:tcPr>
          <w:p>
            <w:pPr>
              <w:ind w:leftChars="-51" w:hanging="107" w:hangingChars="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/48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8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黑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黑体" w:hAnsi="宋体" w:eastAsia="黑体"/>
                <w:szCs w:val="21"/>
              </w:rPr>
              <w:t>9</w:t>
            </w:r>
            <w:r>
              <w:rPr>
                <w:rFonts w:hint="eastAsia" w:ascii="黑体" w:hAnsi="宋体" w:eastAsia="黑体"/>
                <w:szCs w:val="21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restart"/>
            <w:vAlign w:val="center"/>
          </w:tcPr>
          <w:p>
            <w:pPr>
              <w:jc w:val="center"/>
            </w:pPr>
            <w:r>
              <w:t>专</w:t>
            </w:r>
          </w:p>
          <w:p>
            <w:pPr>
              <w:jc w:val="center"/>
            </w:pPr>
            <w:r>
              <w:t>业</w:t>
            </w:r>
          </w:p>
          <w:p>
            <w:pPr>
              <w:jc w:val="center"/>
            </w:pPr>
            <w:r>
              <w:t>课</w:t>
            </w:r>
          </w:p>
          <w:p>
            <w:pPr>
              <w:jc w:val="center"/>
            </w:pPr>
            <w:r>
              <w:t>程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纳税会计与税收筹划</w:t>
            </w:r>
          </w:p>
        </w:tc>
        <w:tc>
          <w:tcPr>
            <w:tcW w:w="1134" w:type="dxa"/>
            <w:vAlign w:val="center"/>
          </w:tcPr>
          <w:p>
            <w:pPr>
              <w:ind w:leftChars="-51" w:right="-107" w:rightChars="-51" w:hanging="107" w:hangingChars="51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84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财务报表分析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投资学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公司估值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845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黑体" w:eastAsia="黑体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黑体" w:hAnsi="宋体" w:eastAsia="黑体"/>
                <w:szCs w:val="21"/>
              </w:rPr>
              <w:t>11</w:t>
            </w:r>
            <w:r>
              <w:rPr>
                <w:rFonts w:hint="eastAsia" w:ascii="黑体" w:hAnsi="宋体" w:eastAsia="黑体"/>
                <w:szCs w:val="21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05" w:type="dxa"/>
            <w:vMerge w:val="continue"/>
          </w:tcPr>
          <w:p>
            <w:pPr>
              <w:rPr>
                <w:szCs w:val="21"/>
              </w:rPr>
            </w:pPr>
          </w:p>
        </w:tc>
        <w:tc>
          <w:tcPr>
            <w:tcW w:w="1097" w:type="dxa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集中实践</w:t>
            </w:r>
          </w:p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教学环节</w:t>
            </w:r>
          </w:p>
        </w:tc>
        <w:tc>
          <w:tcPr>
            <w:tcW w:w="4289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毕业设计（论文）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8/16周</w:t>
            </w:r>
          </w:p>
        </w:tc>
        <w:tc>
          <w:tcPr>
            <w:tcW w:w="851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</w:t>
            </w:r>
          </w:p>
        </w:tc>
        <w:tc>
          <w:tcPr>
            <w:tcW w:w="845" w:type="dxa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2002" w:type="dxa"/>
            <w:gridSpan w:val="2"/>
            <w:vAlign w:val="center"/>
          </w:tcPr>
          <w:p>
            <w:pPr>
              <w:jc w:val="center"/>
              <w:rPr>
                <w:rFonts w:ascii="黑体" w:eastAsia="黑体"/>
              </w:rPr>
            </w:pPr>
            <w:r>
              <w:rPr>
                <w:rFonts w:hint="eastAsia" w:ascii="黑体" w:eastAsia="黑体"/>
              </w:rPr>
              <w:t>合计</w:t>
            </w:r>
          </w:p>
        </w:tc>
        <w:tc>
          <w:tcPr>
            <w:tcW w:w="7119" w:type="dxa"/>
            <w:gridSpan w:val="4"/>
            <w:vAlign w:val="center"/>
          </w:tcPr>
          <w:p>
            <w:pPr>
              <w:jc w:val="center"/>
              <w:rPr>
                <w:rFonts w:ascii="黑体" w:hAnsi="宋体" w:eastAsia="黑体"/>
                <w:szCs w:val="21"/>
              </w:rPr>
            </w:pPr>
            <w:r>
              <w:rPr>
                <w:rFonts w:hint="eastAsia" w:ascii="黑体" w:hAnsi="宋体" w:eastAsia="黑体"/>
                <w:szCs w:val="21"/>
              </w:rPr>
              <w:t>28学分</w:t>
            </w:r>
          </w:p>
        </w:tc>
      </w:tr>
    </w:tbl>
    <w:p/>
    <w:p>
      <w:pPr>
        <w:rPr>
          <w:rFonts w:ascii="黑体" w:hAnsi="宋体" w:eastAsia="黑体"/>
          <w:sz w:val="24"/>
        </w:rPr>
      </w:pPr>
    </w:p>
    <w:p/>
    <w:p/>
    <w:p/>
    <w:p>
      <w:r>
        <w:br w:type="page"/>
      </w:r>
    </w:p>
    <w:tbl>
      <w:tblPr>
        <w:tblStyle w:val="9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76"/>
        <w:gridCol w:w="517"/>
        <w:gridCol w:w="1278"/>
        <w:gridCol w:w="2776"/>
        <w:gridCol w:w="560"/>
        <w:gridCol w:w="535"/>
        <w:gridCol w:w="711"/>
        <w:gridCol w:w="515"/>
        <w:gridCol w:w="487"/>
        <w:gridCol w:w="489"/>
        <w:gridCol w:w="453"/>
        <w:gridCol w:w="6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atLeast"/>
          <w:jc w:val="center"/>
        </w:trPr>
        <w:tc>
          <w:tcPr>
            <w:tcW w:w="5000" w:type="pct"/>
            <w:gridSpan w:val="12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before="156" w:beforeLines="50" w:after="156" w:afterLines="50"/>
              <w:rPr>
                <w:rFonts w:ascii="方正小标宋简体" w:eastAsia="方正小标宋简体"/>
                <w:sz w:val="44"/>
                <w:szCs w:val="36"/>
              </w:rPr>
            </w:pPr>
            <w:r>
              <w:rPr>
                <w:rFonts w:hint="eastAsia" w:ascii="黑体" w:hAnsi="宋体" w:eastAsia="黑体"/>
                <w:sz w:val="32"/>
              </w:rPr>
              <w:t>附表</w:t>
            </w:r>
            <w:r>
              <w:rPr>
                <w:rFonts w:hint="eastAsia" w:ascii="黑体" w:eastAsia="黑体"/>
                <w:sz w:val="32"/>
              </w:rPr>
              <w:t>2</w:t>
            </w:r>
          </w:p>
          <w:p>
            <w:pPr>
              <w:adjustRightInd w:val="0"/>
              <w:snapToGrid w:val="0"/>
              <w:spacing w:before="156" w:beforeLines="50" w:after="156" w:afterLines="50"/>
              <w:jc w:val="center"/>
              <w:rPr>
                <w:rFonts w:ascii="方正小标宋简体" w:eastAsia="方正小标宋简体"/>
                <w:b/>
                <w:sz w:val="36"/>
                <w:szCs w:val="36"/>
              </w:rPr>
            </w:pPr>
            <w:r>
              <w:rPr>
                <w:rFonts w:hint="eastAsia" w:ascii="方正小标宋简体" w:eastAsia="方正小标宋简体"/>
                <w:b/>
                <w:sz w:val="36"/>
                <w:szCs w:val="36"/>
              </w:rPr>
              <w:t>财务管理专业</w:t>
            </w:r>
            <w:r>
              <w:rPr>
                <w:rFonts w:hint="eastAsia" w:ascii="方正小标宋简体" w:eastAsia="方正小标宋简体"/>
                <w:b/>
                <w:sz w:val="36"/>
              </w:rPr>
              <w:t>（辅修）</w:t>
            </w:r>
            <w:r>
              <w:rPr>
                <w:rFonts w:hint="eastAsia" w:ascii="方正小标宋简体" w:eastAsia="方正小标宋简体"/>
                <w:b/>
                <w:sz w:val="36"/>
                <w:szCs w:val="36"/>
              </w:rPr>
              <w:t>教学进程表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61" w:hRule="atLeast"/>
          <w:jc w:val="center"/>
        </w:trPr>
        <w:tc>
          <w:tcPr>
            <w:tcW w:w="202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22"/>
              <w:widowControl w:val="0"/>
              <w:spacing w:before="0" w:beforeAutospacing="0" w:after="0" w:afterAutospacing="0"/>
              <w:textAlignment w:val="auto"/>
              <w:rPr>
                <w:rFonts w:hint="default" w:ascii="Times New Roman" w:hAnsi="Times New Roman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/>
                <w:kern w:val="2"/>
                <w:sz w:val="21"/>
                <w:szCs w:val="21"/>
              </w:rPr>
              <w:t>学年</w:t>
            </w:r>
          </w:p>
        </w:tc>
        <w:tc>
          <w:tcPr>
            <w:tcW w:w="277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期</w:t>
            </w:r>
          </w:p>
        </w:tc>
        <w:tc>
          <w:tcPr>
            <w:tcW w:w="685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课程编号</w:t>
            </w:r>
          </w:p>
        </w:tc>
        <w:tc>
          <w:tcPr>
            <w:tcW w:w="1488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课程名称</w:t>
            </w:r>
          </w:p>
        </w:tc>
        <w:tc>
          <w:tcPr>
            <w:tcW w:w="300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分</w:t>
            </w:r>
          </w:p>
        </w:tc>
        <w:tc>
          <w:tcPr>
            <w:tcW w:w="287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周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</w:t>
            </w:r>
          </w:p>
        </w:tc>
        <w:tc>
          <w:tcPr>
            <w:tcW w:w="381" w:type="pct"/>
            <w:vMerge w:val="restart"/>
            <w:tcBorders>
              <w:top w:val="single" w:color="auto" w:sz="8" w:space="0"/>
              <w:bottom w:val="single" w:color="auto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行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课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周</w:t>
            </w:r>
          </w:p>
        </w:tc>
        <w:tc>
          <w:tcPr>
            <w:tcW w:w="276" w:type="pct"/>
            <w:vMerge w:val="restart"/>
            <w:tcBorders>
              <w:top w:val="single" w:color="auto" w:sz="8" w:space="0"/>
              <w:left w:val="single" w:color="auto" w:sz="4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总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</w:t>
            </w:r>
          </w:p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时</w:t>
            </w:r>
          </w:p>
        </w:tc>
        <w:tc>
          <w:tcPr>
            <w:tcW w:w="766" w:type="pct"/>
            <w:gridSpan w:val="3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学时分配</w:t>
            </w:r>
          </w:p>
        </w:tc>
        <w:tc>
          <w:tcPr>
            <w:tcW w:w="338" w:type="pct"/>
            <w:vMerge w:val="restart"/>
            <w:tcBorders>
              <w:top w:val="single" w:color="auto" w:sz="8" w:space="0"/>
              <w:bottom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考核       要求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66" w:hRule="atLeast"/>
          <w:jc w:val="center"/>
        </w:trPr>
        <w:tc>
          <w:tcPr>
            <w:tcW w:w="202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1488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300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87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381" w:type="pct"/>
            <w:vMerge w:val="continue"/>
            <w:tcBorders>
              <w:top w:val="single" w:color="auto" w:sz="2" w:space="0"/>
              <w:right w:val="single" w:color="auto" w:sz="4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6" w:type="pct"/>
            <w:vMerge w:val="continue"/>
            <w:tcBorders>
              <w:top w:val="single" w:color="auto" w:sz="2" w:space="0"/>
              <w:left w:val="single" w:color="auto" w:sz="4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61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讲</w:t>
            </w:r>
            <w:r>
              <w:rPr>
                <w:rFonts w:hint="eastAsia" w:eastAsia="黑体"/>
                <w:szCs w:val="21"/>
              </w:rPr>
              <w:t xml:space="preserve">  </w:t>
            </w:r>
            <w:r>
              <w:rPr>
                <w:rFonts w:eastAsia="黑体"/>
                <w:szCs w:val="21"/>
              </w:rPr>
              <w:t>课</w:t>
            </w:r>
          </w:p>
        </w:tc>
        <w:tc>
          <w:tcPr>
            <w:tcW w:w="262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实践实验</w:t>
            </w:r>
          </w:p>
        </w:tc>
        <w:tc>
          <w:tcPr>
            <w:tcW w:w="243" w:type="pct"/>
            <w:tcBorders>
              <w:top w:val="single" w:color="auto" w:sz="2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>上</w:t>
            </w:r>
            <w:r>
              <w:rPr>
                <w:rFonts w:hint="eastAsia" w:eastAsia="黑体"/>
                <w:szCs w:val="21"/>
              </w:rPr>
              <w:t xml:space="preserve">   </w:t>
            </w:r>
            <w:r>
              <w:rPr>
                <w:rFonts w:eastAsia="黑体"/>
                <w:szCs w:val="21"/>
              </w:rPr>
              <w:t>机</w:t>
            </w:r>
          </w:p>
        </w:tc>
        <w:tc>
          <w:tcPr>
            <w:tcW w:w="338" w:type="pct"/>
            <w:vMerge w:val="continue"/>
            <w:tcBorders>
              <w:top w:val="single" w:color="auto" w:sz="2" w:space="0"/>
            </w:tcBorders>
            <w:vAlign w:val="center"/>
          </w:tcPr>
          <w:p>
            <w:pPr>
              <w:rPr>
                <w:rFonts w:eastAsia="黑体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</w:t>
            </w:r>
            <w:r>
              <w:rPr>
                <w:rFonts w:hint="eastAsia" w:eastAsia="黑体"/>
                <w:szCs w:val="21"/>
              </w:rPr>
              <w:t>二</w:t>
            </w:r>
            <w:r>
              <w:rPr>
                <w:rFonts w:eastAsia="黑体"/>
                <w:szCs w:val="21"/>
              </w:rPr>
              <w:t xml:space="preserve"> 学 年</w:t>
            </w:r>
            <w:r>
              <w:rPr>
                <w:rFonts w:hint="eastAsia" w:eastAsia="黑体"/>
                <w:szCs w:val="21"/>
              </w:rPr>
              <w:t xml:space="preserve"> </w:t>
            </w:r>
          </w:p>
        </w:tc>
        <w:tc>
          <w:tcPr>
            <w:tcW w:w="277" w:type="pct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     </w:t>
            </w:r>
            <w:r>
              <w:rPr>
                <w:rFonts w:hint="eastAsia" w:eastAsia="黑体"/>
                <w:szCs w:val="21"/>
              </w:rPr>
              <w:t>4</w:t>
            </w:r>
            <w:r>
              <w:rPr>
                <w:rFonts w:eastAsia="黑体"/>
                <w:szCs w:val="21"/>
              </w:rPr>
              <w:t xml:space="preserve">      学      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120130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会计学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-12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8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277" w:type="pct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rPr>
                <w:rFonts w:eastAsia="黑体"/>
                <w:szCs w:val="21"/>
              </w:rPr>
            </w:pPr>
          </w:p>
        </w:tc>
        <w:tc>
          <w:tcPr>
            <w:tcW w:w="277" w:type="pct"/>
            <w:vMerge w:val="continue"/>
            <w:vAlign w:val="center"/>
          </w:tcPr>
          <w:p>
            <w:pPr>
              <w:rPr>
                <w:rFonts w:eastAsia="黑体"/>
                <w:szCs w:val="21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2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3" w:type="pc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38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黑体"/>
                <w:szCs w:val="21"/>
              </w:rPr>
            </w:pPr>
          </w:p>
        </w:tc>
        <w:tc>
          <w:tcPr>
            <w:tcW w:w="277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黑体"/>
                <w:szCs w:val="21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36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3学分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第三学年</w:t>
            </w:r>
          </w:p>
        </w:tc>
        <w:tc>
          <w:tcPr>
            <w:tcW w:w="277" w:type="pct"/>
            <w:vMerge w:val="restart"/>
            <w:tcBorders>
              <w:top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5</w:t>
            </w:r>
            <w:r>
              <w:rPr>
                <w:rFonts w:eastAsia="黑体"/>
                <w:szCs w:val="21"/>
              </w:rPr>
              <w:t xml:space="preserve">     学 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E</w:t>
            </w:r>
            <w:r>
              <w:rPr>
                <w:szCs w:val="21"/>
              </w:rPr>
              <w:t>M110040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管理学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-12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8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214030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财务管理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-12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8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311320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财务报表分析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8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-12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0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36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9学分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6</w:t>
            </w:r>
            <w:r>
              <w:rPr>
                <w:rFonts w:eastAsia="黑体"/>
                <w:szCs w:val="21"/>
              </w:rPr>
              <w:t xml:space="preserve">     学 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321230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投资学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-12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8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38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321720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公司估值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-8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2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38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38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36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5学分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</w:tblPrEx>
        <w:trPr>
          <w:cantSplit/>
          <w:trHeight w:val="397" w:hRule="exact"/>
          <w:jc w:val="center"/>
        </w:trPr>
        <w:tc>
          <w:tcPr>
            <w:tcW w:w="202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hint="eastAsia" w:eastAsia="黑体"/>
                <w:szCs w:val="21"/>
              </w:rPr>
              <w:t>第四学年</w:t>
            </w:r>
          </w:p>
        </w:tc>
        <w:tc>
          <w:tcPr>
            <w:tcW w:w="277" w:type="pct"/>
            <w:vMerge w:val="restart"/>
            <w:tcBorders>
              <w:top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Cs w:val="21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7</w:t>
            </w:r>
            <w:r>
              <w:rPr>
                <w:rFonts w:eastAsia="黑体"/>
                <w:szCs w:val="21"/>
              </w:rPr>
              <w:t xml:space="preserve">     学 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321630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</w:rPr>
              <w:t>纳税会计与税收筹划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287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-12</w:t>
            </w: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8</w:t>
            </w: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8</w:t>
            </w: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ind w:left="-107" w:leftChars="-51" w:firstLine="107" w:firstLineChars="51"/>
              <w:jc w:val="center"/>
              <w:rPr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87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81" w:type="pct"/>
            <w:tcBorders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76" w:type="pct"/>
            <w:tcBorders>
              <w:lef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1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6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3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7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36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3学分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restart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Cs w:val="21"/>
              </w:rPr>
              <w:t xml:space="preserve">第        </w:t>
            </w:r>
            <w:r>
              <w:rPr>
                <w:rFonts w:hint="eastAsia" w:eastAsia="黑体"/>
                <w:szCs w:val="21"/>
              </w:rPr>
              <w:t>8</w:t>
            </w:r>
            <w:r>
              <w:rPr>
                <w:rFonts w:eastAsia="黑体"/>
                <w:szCs w:val="21"/>
              </w:rPr>
              <w:t xml:space="preserve">    学 期</w:t>
            </w: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V</w:t>
            </w:r>
            <w:r>
              <w:rPr>
                <w:szCs w:val="21"/>
              </w:rPr>
              <w:t>423208</w:t>
            </w:r>
          </w:p>
        </w:tc>
        <w:tc>
          <w:tcPr>
            <w:tcW w:w="148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毕业设计（论文）</w:t>
            </w:r>
          </w:p>
        </w:tc>
        <w:tc>
          <w:tcPr>
            <w:tcW w:w="30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1710" w:type="pct"/>
            <w:gridSpan w:val="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16周</w:t>
            </w:r>
          </w:p>
        </w:tc>
        <w:tc>
          <w:tcPr>
            <w:tcW w:w="338" w:type="pct"/>
            <w:tcBorders>
              <w:top w:val="single" w:color="auto" w:sz="4" w:space="0"/>
              <w:bottom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考查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4" w:hRule="exact"/>
          <w:jc w:val="center"/>
        </w:trPr>
        <w:tc>
          <w:tcPr>
            <w:tcW w:w="202" w:type="pct"/>
            <w:vMerge w:val="continue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277" w:type="pct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</w:p>
        </w:tc>
        <w:tc>
          <w:tcPr>
            <w:tcW w:w="68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合计</w:t>
            </w:r>
          </w:p>
        </w:tc>
        <w:tc>
          <w:tcPr>
            <w:tcW w:w="3836" w:type="pct"/>
            <w:gridSpan w:val="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eastAsia="黑体"/>
                <w:sz w:val="20"/>
                <w:szCs w:val="20"/>
              </w:rPr>
              <w:t>8学分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27" w:hRule="exact"/>
          <w:jc w:val="center"/>
        </w:trPr>
        <w:tc>
          <w:tcPr>
            <w:tcW w:w="5000" w:type="pct"/>
            <w:gridSpan w:val="12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1.修读辅修专业的学生，达到以下条件，可获得学校颁发的辅修专业证书：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（1）达到主修专业毕业要求；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（2）完成辅修专业教学计划。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2.修读辅修专业的学生，达到以下条件，可授予辅修专业相应的学士学位：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（1）辅修专业与主修专业分属不同专业大类；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（2）达到主修专业毕业及学士学位要求；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（3）完成辅修专业教学计划，且所辅修专业课程平均学分绩点≥2.0；</w:t>
            </w:r>
          </w:p>
          <w:p>
            <w:pPr>
              <w:rPr>
                <w:rFonts w:eastAsia="黑体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（4）同时完成主修专业及辅修专业两份毕业论文，并通过答辩。</w:t>
            </w:r>
          </w:p>
        </w:tc>
      </w:tr>
    </w:tbl>
    <w:p/>
    <w:p/>
    <w:p>
      <w:pPr>
        <w:ind w:firstLine="301" w:firstLineChars="100"/>
        <w:jc w:val="center"/>
        <w:rPr>
          <w:b/>
          <w:sz w:val="30"/>
          <w:szCs w:val="30"/>
        </w:rPr>
      </w:pPr>
    </w:p>
    <w:sectPr>
      <w:pgSz w:w="11906" w:h="16838"/>
      <w:pgMar w:top="1418" w:right="1304" w:bottom="1418" w:left="1304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144"/>
    <w:rsid w:val="00007D37"/>
    <w:rsid w:val="00050BB3"/>
    <w:rsid w:val="00082EB6"/>
    <w:rsid w:val="00091CB4"/>
    <w:rsid w:val="000B2889"/>
    <w:rsid w:val="000D0266"/>
    <w:rsid w:val="000F0AFF"/>
    <w:rsid w:val="00101495"/>
    <w:rsid w:val="00106D42"/>
    <w:rsid w:val="00134C5A"/>
    <w:rsid w:val="00147825"/>
    <w:rsid w:val="00155540"/>
    <w:rsid w:val="00162503"/>
    <w:rsid w:val="001803C9"/>
    <w:rsid w:val="00191904"/>
    <w:rsid w:val="001A4503"/>
    <w:rsid w:val="001A4CCC"/>
    <w:rsid w:val="001A5168"/>
    <w:rsid w:val="001C149B"/>
    <w:rsid w:val="00200A99"/>
    <w:rsid w:val="002019CC"/>
    <w:rsid w:val="002133AC"/>
    <w:rsid w:val="002171D7"/>
    <w:rsid w:val="0025006B"/>
    <w:rsid w:val="00287D1E"/>
    <w:rsid w:val="002C08F0"/>
    <w:rsid w:val="002D1EA7"/>
    <w:rsid w:val="002F3CEC"/>
    <w:rsid w:val="00300A31"/>
    <w:rsid w:val="003078E2"/>
    <w:rsid w:val="00321DBC"/>
    <w:rsid w:val="0034015A"/>
    <w:rsid w:val="00341E73"/>
    <w:rsid w:val="00372E0F"/>
    <w:rsid w:val="0037415C"/>
    <w:rsid w:val="00377E08"/>
    <w:rsid w:val="00383821"/>
    <w:rsid w:val="00390E01"/>
    <w:rsid w:val="003A7D41"/>
    <w:rsid w:val="003B22AD"/>
    <w:rsid w:val="003B7D25"/>
    <w:rsid w:val="00403E44"/>
    <w:rsid w:val="00431677"/>
    <w:rsid w:val="00431949"/>
    <w:rsid w:val="00435D2D"/>
    <w:rsid w:val="00444532"/>
    <w:rsid w:val="00465641"/>
    <w:rsid w:val="00470ACA"/>
    <w:rsid w:val="00472F1D"/>
    <w:rsid w:val="0047648F"/>
    <w:rsid w:val="00490C11"/>
    <w:rsid w:val="004926A4"/>
    <w:rsid w:val="004956C9"/>
    <w:rsid w:val="004A25C5"/>
    <w:rsid w:val="005566AC"/>
    <w:rsid w:val="005648CB"/>
    <w:rsid w:val="00565F5F"/>
    <w:rsid w:val="00596E85"/>
    <w:rsid w:val="005A0EFC"/>
    <w:rsid w:val="005A163E"/>
    <w:rsid w:val="005E7277"/>
    <w:rsid w:val="005F7B65"/>
    <w:rsid w:val="00602F60"/>
    <w:rsid w:val="0061392F"/>
    <w:rsid w:val="00627019"/>
    <w:rsid w:val="00660E58"/>
    <w:rsid w:val="006B55BA"/>
    <w:rsid w:val="006D0C98"/>
    <w:rsid w:val="006D501A"/>
    <w:rsid w:val="00716A53"/>
    <w:rsid w:val="00723C97"/>
    <w:rsid w:val="007355AF"/>
    <w:rsid w:val="007374FD"/>
    <w:rsid w:val="00745F56"/>
    <w:rsid w:val="0079400E"/>
    <w:rsid w:val="007C3EA9"/>
    <w:rsid w:val="007F2904"/>
    <w:rsid w:val="008113C5"/>
    <w:rsid w:val="00834FC1"/>
    <w:rsid w:val="00836AFB"/>
    <w:rsid w:val="00857F1E"/>
    <w:rsid w:val="0086578D"/>
    <w:rsid w:val="00872242"/>
    <w:rsid w:val="00877DA8"/>
    <w:rsid w:val="008B22E5"/>
    <w:rsid w:val="008D73AF"/>
    <w:rsid w:val="009150DD"/>
    <w:rsid w:val="00921855"/>
    <w:rsid w:val="00931CA8"/>
    <w:rsid w:val="00935880"/>
    <w:rsid w:val="009639A1"/>
    <w:rsid w:val="0098548E"/>
    <w:rsid w:val="00993BB5"/>
    <w:rsid w:val="00994388"/>
    <w:rsid w:val="009A0658"/>
    <w:rsid w:val="009A4798"/>
    <w:rsid w:val="009B3030"/>
    <w:rsid w:val="009D1BC6"/>
    <w:rsid w:val="009F0D2F"/>
    <w:rsid w:val="00A02144"/>
    <w:rsid w:val="00A1008B"/>
    <w:rsid w:val="00A378A4"/>
    <w:rsid w:val="00A72672"/>
    <w:rsid w:val="00A80E11"/>
    <w:rsid w:val="00A8664F"/>
    <w:rsid w:val="00A866AE"/>
    <w:rsid w:val="00AC2FB0"/>
    <w:rsid w:val="00AD554D"/>
    <w:rsid w:val="00AE5D26"/>
    <w:rsid w:val="00AE7D71"/>
    <w:rsid w:val="00AF73CC"/>
    <w:rsid w:val="00B23AF4"/>
    <w:rsid w:val="00B37437"/>
    <w:rsid w:val="00B47454"/>
    <w:rsid w:val="00B61A23"/>
    <w:rsid w:val="00B75427"/>
    <w:rsid w:val="00BA0644"/>
    <w:rsid w:val="00BA61E2"/>
    <w:rsid w:val="00BD2C80"/>
    <w:rsid w:val="00BF3267"/>
    <w:rsid w:val="00C0669B"/>
    <w:rsid w:val="00C12AD5"/>
    <w:rsid w:val="00C2614D"/>
    <w:rsid w:val="00C33A0C"/>
    <w:rsid w:val="00CC1FD1"/>
    <w:rsid w:val="00CC2302"/>
    <w:rsid w:val="00CC3323"/>
    <w:rsid w:val="00CD3B35"/>
    <w:rsid w:val="00CD798A"/>
    <w:rsid w:val="00CE4660"/>
    <w:rsid w:val="00D03F1F"/>
    <w:rsid w:val="00D24EE4"/>
    <w:rsid w:val="00D414E4"/>
    <w:rsid w:val="00D846D8"/>
    <w:rsid w:val="00D9109D"/>
    <w:rsid w:val="00DF1611"/>
    <w:rsid w:val="00DF4D74"/>
    <w:rsid w:val="00E53332"/>
    <w:rsid w:val="00E60D49"/>
    <w:rsid w:val="00E66445"/>
    <w:rsid w:val="00E81D99"/>
    <w:rsid w:val="00E96D4A"/>
    <w:rsid w:val="00EE03E1"/>
    <w:rsid w:val="00F27B89"/>
    <w:rsid w:val="00F452E1"/>
    <w:rsid w:val="00F70A89"/>
    <w:rsid w:val="00F86A66"/>
    <w:rsid w:val="00F96414"/>
    <w:rsid w:val="00FC5F47"/>
    <w:rsid w:val="00FD0DD0"/>
    <w:rsid w:val="00FE008F"/>
    <w:rsid w:val="194C0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52"/>
    <w:semiHidden/>
    <w:uiPriority w:val="0"/>
    <w:pPr>
      <w:shd w:val="clear" w:color="auto" w:fill="000080"/>
    </w:pPr>
    <w:rPr>
      <w:rFonts w:ascii="Times New Roman" w:hAnsi="Times New Roman" w:eastAsia="宋体" w:cs="Times New Roman"/>
      <w:szCs w:val="24"/>
    </w:rPr>
  </w:style>
  <w:style w:type="paragraph" w:styleId="3">
    <w:name w:val="Body Text"/>
    <w:basedOn w:val="1"/>
    <w:link w:val="50"/>
    <w:uiPriority w:val="0"/>
    <w:rPr>
      <w:rFonts w:ascii="Times New Roman" w:hAnsi="Times New Roman" w:eastAsia="宋体" w:cs="Times New Roman"/>
      <w:sz w:val="24"/>
      <w:szCs w:val="24"/>
    </w:rPr>
  </w:style>
  <w:style w:type="paragraph" w:styleId="4">
    <w:name w:val="Body Text Indent"/>
    <w:basedOn w:val="1"/>
    <w:link w:val="18"/>
    <w:uiPriority w:val="0"/>
    <w:pPr>
      <w:spacing w:line="360" w:lineRule="auto"/>
      <w:ind w:left="479" w:leftChars="228" w:firstLine="480" w:firstLineChars="200"/>
    </w:pPr>
    <w:rPr>
      <w:rFonts w:ascii="宋体" w:hAnsi="宋体" w:eastAsia="宋体" w:cs="Times New Roman"/>
      <w:sz w:val="24"/>
      <w:szCs w:val="24"/>
    </w:rPr>
  </w:style>
  <w:style w:type="paragraph" w:styleId="5">
    <w:name w:val="Balloon Text"/>
    <w:basedOn w:val="1"/>
    <w:link w:val="17"/>
    <w:semiHidden/>
    <w:uiPriority w:val="0"/>
    <w:rPr>
      <w:rFonts w:ascii="Times New Roman" w:hAnsi="Times New Roman" w:eastAsia="宋体" w:cs="Times New Roman"/>
      <w:sz w:val="18"/>
      <w:szCs w:val="18"/>
    </w:rPr>
  </w:style>
  <w:style w:type="paragraph" w:styleId="6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table" w:styleId="10">
    <w:name w:val="Table Grid"/>
    <w:basedOn w:val="9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uiPriority w:val="0"/>
  </w:style>
  <w:style w:type="character" w:customStyle="1" w:styleId="13">
    <w:name w:val="页眉 字符"/>
    <w:basedOn w:val="11"/>
    <w:link w:val="7"/>
    <w:uiPriority w:val="99"/>
    <w:rPr>
      <w:sz w:val="18"/>
      <w:szCs w:val="18"/>
    </w:rPr>
  </w:style>
  <w:style w:type="character" w:customStyle="1" w:styleId="14">
    <w:name w:val="页脚 字符"/>
    <w:basedOn w:val="11"/>
    <w:link w:val="6"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Default"/>
    <w:uiPriority w:val="0"/>
    <w:pPr>
      <w:widowControl w:val="0"/>
      <w:autoSpaceDE w:val="0"/>
      <w:autoSpaceDN w:val="0"/>
      <w:adjustRightInd w:val="0"/>
    </w:pPr>
    <w:rPr>
      <w:rFonts w:ascii="仿宋_GB2312" w:hAnsi="Calibri" w:eastAsia="仿宋_GB2312" w:cs="仿宋_GB2312"/>
      <w:color w:val="000000"/>
      <w:kern w:val="0"/>
      <w:sz w:val="24"/>
      <w:szCs w:val="24"/>
      <w:lang w:val="en-US" w:eastAsia="zh-CN" w:bidi="ar-SA"/>
    </w:rPr>
  </w:style>
  <w:style w:type="character" w:customStyle="1" w:styleId="17">
    <w:name w:val="批注框文本 字符"/>
    <w:basedOn w:val="11"/>
    <w:link w:val="5"/>
    <w:semiHidden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正文文本缩进 字符"/>
    <w:basedOn w:val="11"/>
    <w:link w:val="4"/>
    <w:uiPriority w:val="0"/>
    <w:rPr>
      <w:rFonts w:ascii="宋体" w:hAnsi="宋体" w:eastAsia="宋体" w:cs="Times New Roman"/>
      <w:sz w:val="24"/>
      <w:szCs w:val="24"/>
    </w:rPr>
  </w:style>
  <w:style w:type="paragraph" w:customStyle="1" w:styleId="19">
    <w:name w:val="font5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 w:cs="Times New Roman"/>
      <w:kern w:val="0"/>
      <w:sz w:val="18"/>
      <w:szCs w:val="18"/>
    </w:rPr>
  </w:style>
  <w:style w:type="paragraph" w:customStyle="1" w:styleId="20">
    <w:name w:val="font6"/>
    <w:basedOn w:val="1"/>
    <w:uiPriority w:val="0"/>
    <w:pPr>
      <w:widowControl/>
      <w:spacing w:before="100" w:beforeAutospacing="1" w:after="100" w:afterAutospacing="1"/>
      <w:jc w:val="left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1">
    <w:name w:val="font7"/>
    <w:basedOn w:val="1"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22">
    <w:name w:val="xl24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3">
    <w:name w:val="xl2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4">
    <w:name w:val="xl2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25">
    <w:name w:val="xl2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26">
    <w:name w:val="xl2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27">
    <w:name w:val="xl29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28">
    <w:name w:val="xl30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4"/>
      <w:szCs w:val="24"/>
    </w:rPr>
  </w:style>
  <w:style w:type="paragraph" w:customStyle="1" w:styleId="29">
    <w:name w:val="xl3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12"/>
      <w:szCs w:val="12"/>
    </w:rPr>
  </w:style>
  <w:style w:type="paragraph" w:customStyle="1" w:styleId="30">
    <w:name w:val="xl3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14"/>
      <w:szCs w:val="14"/>
    </w:rPr>
  </w:style>
  <w:style w:type="paragraph" w:customStyle="1" w:styleId="31">
    <w:name w:val="xl33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32">
    <w:name w:val="xl34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3">
    <w:name w:val="xl35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4">
    <w:name w:val="xl36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4"/>
      <w:szCs w:val="24"/>
    </w:rPr>
  </w:style>
  <w:style w:type="paragraph" w:customStyle="1" w:styleId="35">
    <w:name w:val="xl3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36">
    <w:name w:val="xl3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color w:val="FF0000"/>
      <w:kern w:val="0"/>
      <w:sz w:val="20"/>
      <w:szCs w:val="20"/>
    </w:rPr>
  </w:style>
  <w:style w:type="paragraph" w:customStyle="1" w:styleId="37">
    <w:name w:val="xl3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16"/>
      <w:szCs w:val="16"/>
    </w:rPr>
  </w:style>
  <w:style w:type="paragraph" w:customStyle="1" w:styleId="38">
    <w:name w:val="xl4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39">
    <w:name w:val="xl4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0">
    <w:name w:val="xl42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1">
    <w:name w:val="xl43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2">
    <w:name w:val="xl44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3">
    <w:name w:val="xl4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4">
    <w:name w:val="xl4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宋体" w:cs="Times New Roman"/>
      <w:kern w:val="0"/>
      <w:sz w:val="20"/>
      <w:szCs w:val="20"/>
    </w:rPr>
  </w:style>
  <w:style w:type="paragraph" w:customStyle="1" w:styleId="45">
    <w:name w:val="xl4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Times New Roman" w:hAnsi="Times New Roman" w:eastAsia="宋体" w:cs="Times New Roman"/>
      <w:kern w:val="0"/>
      <w:sz w:val="20"/>
      <w:szCs w:val="20"/>
    </w:rPr>
  </w:style>
  <w:style w:type="paragraph" w:customStyle="1" w:styleId="46">
    <w:name w:val="xl48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8"/>
      <w:szCs w:val="28"/>
    </w:rPr>
  </w:style>
  <w:style w:type="paragraph" w:customStyle="1" w:styleId="47">
    <w:name w:val="xl4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8">
    <w:name w:val="xl5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paragraph" w:customStyle="1" w:styleId="49">
    <w:name w:val="xl51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character" w:customStyle="1" w:styleId="50">
    <w:name w:val="正文文本 字符"/>
    <w:basedOn w:val="11"/>
    <w:link w:val="3"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1">
    <w:name w:val="xl52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黑体" w:hAnsi="宋体" w:eastAsia="黑体" w:cs="Times New Roman"/>
      <w:kern w:val="0"/>
      <w:sz w:val="20"/>
      <w:szCs w:val="20"/>
    </w:rPr>
  </w:style>
  <w:style w:type="character" w:customStyle="1" w:styleId="52">
    <w:name w:val="文档结构图 字符"/>
    <w:basedOn w:val="11"/>
    <w:link w:val="2"/>
    <w:semiHidden/>
    <w:uiPriority w:val="0"/>
    <w:rPr>
      <w:rFonts w:ascii="Times New Roman" w:hAnsi="Times New Roman" w:eastAsia="宋体" w:cs="Times New Roman"/>
      <w:szCs w:val="24"/>
      <w:shd w:val="clear" w:color="auto" w:fill="00008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B42DCB-E8A5-4C2B-84D6-C062B7C2C27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Toshiba</Company>
  <Pages>3</Pages>
  <Words>207</Words>
  <Characters>1184</Characters>
  <Lines>9</Lines>
  <Paragraphs>2</Paragraphs>
  <TotalTime>36</TotalTime>
  <ScaleCrop>false</ScaleCrop>
  <LinksUpToDate>false</LinksUpToDate>
  <CharactersWithSpaces>1389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2021-01-07T10:00:00Z</dcterms:created>
  <dc:creator>LZ</dc:creator>
  <cp:lastModifiedBy>先云野鹤</cp:lastModifiedBy>
  <cp:lastPrinted>2020-12-25T06:30:00Z</cp:lastPrinted>
  <dcterms:modified xsi:type="dcterms:W3CDTF">2021-01-07T13:36:03Z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