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A1225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附件2：学生转专业报名操作指南</w:t>
      </w:r>
    </w:p>
    <w:p w14:paraId="17B064F2"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登录教学管理信息服务平台（与选课等平台为同一个）</w:t>
      </w:r>
    </w:p>
    <w:p w14:paraId="6EF137DB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登录网址：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"http://202.205.105.174/jwglxt/xtgl/login_slogin.html"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http://202.205.105.174/jwglxt/xtgl/login_slogin.html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 w14:paraId="1D04974B"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如学生在校外可通过VPN登录。</w:t>
      </w:r>
    </w:p>
    <w:p w14:paraId="163BB37F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进入主页面后，点击左上角报名申请→学生转专业申请</w:t>
      </w:r>
    </w:p>
    <w:p w14:paraId="32AE6B3A"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填写手机号码，请务必认真填写并仔细核对手机号码，否则学院考核时将无法联系。</w:t>
      </w:r>
    </w:p>
    <w:p w14:paraId="6C2E6F9F">
      <w:pPr>
        <w:rPr>
          <w:rFonts w:hint="default"/>
          <w:lang w:val="en-US" w:eastAsia="zh-CN"/>
        </w:rPr>
      </w:pPr>
    </w:p>
    <w:p w14:paraId="0697CAB1">
      <w:r>
        <w:drawing>
          <wp:inline distT="0" distB="0" distL="114300" distR="114300">
            <wp:extent cx="2083435" cy="1509395"/>
            <wp:effectExtent l="0" t="0" r="12065" b="19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AE806">
      <w:r>
        <w:drawing>
          <wp:inline distT="0" distB="0" distL="114300" distR="114300">
            <wp:extent cx="5273040" cy="1268730"/>
            <wp:effectExtent l="0" t="0" r="10160" b="127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2E980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3.点击上方申报，显示个人基本信息及转专业填报栏。</w:t>
      </w:r>
    </w:p>
    <w:p w14:paraId="3715D06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151755" cy="1412240"/>
            <wp:effectExtent l="0" t="0" r="4445" b="1016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1755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63C65">
      <w:pPr>
        <w:numPr>
          <w:ilvl w:val="0"/>
          <w:numId w:val="2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申报信息填写</w:t>
      </w:r>
    </w:p>
    <w:p w14:paraId="1BB44453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（1）显示的不及格课程为不及格必修性质课程。</w:t>
      </w:r>
    </w:p>
    <w:p w14:paraId="41F168A1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选择拟转入的学院、专业（方向仅编辑出版学（普通班、韬奋班）要选择，其他不用选）。选择专业时，先点击右侧箭头，进入后点击相应专业所在行，变成灰色，点击确定，提示该专业相关说明，请仔细阅读说明内容，点击同意。</w:t>
      </w:r>
    </w:p>
    <w:p w14:paraId="7E6958AB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（3）2024级只能平级转专业；2023级可平级或降级，如需降级转专业，点击降级，可以选择下一级的相关专业（拟接收学院不接收降级转专业的除外）。</w:t>
      </w:r>
    </w:p>
    <w:p w14:paraId="5CE40D3B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（4）拟转入专业要求提供的相关材料，请提前准备好扫描件，在附件上传中提交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（所有材料放入一个文件夹，压缩后上传，压缩包名称为申报专业+学号+姓名+所在学院，如：申报网络与新媒体+23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0010111+张三+机电工程学院）。</w:t>
      </w:r>
    </w:p>
    <w:p w14:paraId="75A91D08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（5）确认无误，点击下方提交申请。</w:t>
      </w:r>
    </w:p>
    <w:p w14:paraId="5420092C">
      <w:r>
        <w:drawing>
          <wp:inline distT="0" distB="0" distL="114300" distR="114300">
            <wp:extent cx="4999355" cy="2141220"/>
            <wp:effectExtent l="0" t="0" r="4445" b="508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9355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B5F24">
      <w:r>
        <w:drawing>
          <wp:inline distT="0" distB="0" distL="114300" distR="114300">
            <wp:extent cx="5268595" cy="1115060"/>
            <wp:effectExtent l="0" t="0" r="1905" b="254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 b="279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158D5">
      <w:r>
        <w:drawing>
          <wp:inline distT="0" distB="0" distL="114300" distR="114300">
            <wp:extent cx="3845560" cy="2049145"/>
            <wp:effectExtent l="0" t="0" r="2540" b="825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5560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C753C"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查看审核流程</w:t>
      </w:r>
    </w:p>
    <w:p w14:paraId="151654F5"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点击流程跟踪，可显示审核流程进度及结果。</w:t>
      </w:r>
    </w:p>
    <w:p w14:paraId="3615E5CF"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9230" cy="1492250"/>
            <wp:effectExtent l="0" t="0" r="127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669F4"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050790" cy="1830705"/>
            <wp:effectExtent l="0" t="0" r="3810" b="1079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079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12B2C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6.撤销申请</w:t>
      </w:r>
    </w:p>
    <w:p w14:paraId="7E7D552F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报名时间范围内，可以选择撤销申请。选中报名信息，变成灰色，点击上方撤销申请。</w:t>
      </w:r>
    </w:p>
    <w:p w14:paraId="18A70773">
      <w:r>
        <w:drawing>
          <wp:inline distT="0" distB="0" distL="114300" distR="114300">
            <wp:extent cx="5002530" cy="1851660"/>
            <wp:effectExtent l="0" t="0" r="1270" b="254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253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B3E40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7.重新报名</w:t>
      </w:r>
    </w:p>
    <w:p w14:paraId="686F638A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先选中已撤销的申请，变成灰色，点击上方取消申报，再按照以上步骤重新报名。</w:t>
      </w:r>
    </w:p>
    <w:p w14:paraId="421AFB29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138930" cy="2035810"/>
            <wp:effectExtent l="0" t="0" r="1270" b="889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3893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52FE5"/>
    <w:multiLevelType w:val="singleLevel"/>
    <w:tmpl w:val="9E852F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80EBC6"/>
    <w:multiLevelType w:val="singleLevel"/>
    <w:tmpl w:val="BA80EBC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OTE4NzMyMmJkNWIyYTdkNTEwNWIzOWU2MjE1N2UifQ=="/>
  </w:docVars>
  <w:rsids>
    <w:rsidRoot w:val="00000000"/>
    <w:rsid w:val="06EB1FA2"/>
    <w:rsid w:val="0E225B4A"/>
    <w:rsid w:val="11743DB6"/>
    <w:rsid w:val="18A72FD7"/>
    <w:rsid w:val="18C160C0"/>
    <w:rsid w:val="20A66F7F"/>
    <w:rsid w:val="290C0999"/>
    <w:rsid w:val="2F8E1E5B"/>
    <w:rsid w:val="36337803"/>
    <w:rsid w:val="43D9411A"/>
    <w:rsid w:val="4FB228B3"/>
    <w:rsid w:val="53925F33"/>
    <w:rsid w:val="545460AA"/>
    <w:rsid w:val="5663298B"/>
    <w:rsid w:val="72E164A9"/>
    <w:rsid w:val="744321B9"/>
    <w:rsid w:val="78EB2212"/>
    <w:rsid w:val="7DC2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568</Words>
  <Characters>640</Characters>
  <Lines>0</Lines>
  <Paragraphs>0</Paragraphs>
  <TotalTime>87</TotalTime>
  <ScaleCrop>false</ScaleCrop>
  <LinksUpToDate>false</LinksUpToDate>
  <CharactersWithSpaces>640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2022-05-06T01:32:00Z</dcterms:created>
  <dc:creator>wangy</dc:creator>
  <cp:lastModifiedBy>崔静怡</cp:lastModifiedBy>
  <dcterms:modified xsi:type="dcterms:W3CDTF">2025-05-08T06:18:50Z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95B93A73CDA347B1AFB84E42BCE32DCB</vt:lpwstr>
  </property>
  <property fmtid="{D5CDD505-2E9C-101B-9397-08002B2CF9AE}" pid="4" name="KSOTemplateDocerSaveRecord">
    <vt:lpwstr>eyJoZGlkIjoiYWI0MWU4YzM4MTlhYzgxNTU5MjkyZTdhNDQ0NjQzNjYiLCJ1c2VySWQiOiIxNjgwNjkwNDc3In0=</vt:lpwstr>
  </property>
</Properties>
</file>