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Style w:val="10"/>
          <w:rFonts w:ascii="宋体" w:hAnsi="宋体"/>
          <w:color w:val="000000"/>
          <w:sz w:val="24"/>
        </w:rPr>
      </w:pPr>
      <w:r>
        <w:rPr>
          <w:rStyle w:val="10"/>
          <w:rFonts w:ascii="仿宋" w:hAnsi="仿宋" w:eastAsia="仿宋"/>
          <w:color w:val="000000"/>
          <w:sz w:val="24"/>
        </w:rPr>
        <w:t>附件：</w:t>
      </w:r>
    </w:p>
    <w:p>
      <w:pPr>
        <w:spacing w:line="360" w:lineRule="auto"/>
        <w:jc w:val="center"/>
        <w:rPr>
          <w:rStyle w:val="10"/>
          <w:rFonts w:ascii="仿宋" w:hAnsi="仿宋" w:eastAsia="仿宋"/>
          <w:b/>
          <w:sz w:val="28"/>
          <w:szCs w:val="28"/>
        </w:rPr>
      </w:pPr>
      <w:r>
        <w:rPr>
          <w:rStyle w:val="10"/>
          <w:rFonts w:ascii="仿宋" w:hAnsi="仿宋" w:eastAsia="仿宋"/>
          <w:b/>
          <w:sz w:val="28"/>
          <w:szCs w:val="28"/>
        </w:rPr>
        <w:t>202</w:t>
      </w:r>
      <w:r>
        <w:rPr>
          <w:rStyle w:val="10"/>
          <w:rFonts w:hint="eastAsia" w:ascii="仿宋" w:hAnsi="仿宋" w:eastAsia="仿宋"/>
          <w:b/>
          <w:sz w:val="28"/>
          <w:szCs w:val="28"/>
        </w:rPr>
        <w:t>4</w:t>
      </w:r>
      <w:r>
        <w:rPr>
          <w:rStyle w:val="10"/>
          <w:rFonts w:ascii="仿宋" w:hAnsi="仿宋" w:eastAsia="仿宋"/>
          <w:b/>
          <w:sz w:val="28"/>
          <w:szCs w:val="28"/>
        </w:rPr>
        <w:t>届毕业设计（论文）主要工作日程安排</w:t>
      </w:r>
    </w:p>
    <w:p>
      <w:pPr>
        <w:spacing w:line="360" w:lineRule="auto"/>
        <w:jc w:val="center"/>
        <w:rPr>
          <w:rStyle w:val="10"/>
          <w:rFonts w:ascii="仿宋" w:hAnsi="仿宋" w:eastAsia="仿宋"/>
          <w:b/>
          <w:sz w:val="28"/>
          <w:szCs w:val="28"/>
        </w:rPr>
      </w:pPr>
      <w:r>
        <w:rPr>
          <w:rStyle w:val="10"/>
          <w:rFonts w:ascii="黑体" w:hAnsi="宋体" w:eastAsia="黑体"/>
          <w:bCs/>
          <w:color w:val="FF0000"/>
          <w:szCs w:val="32"/>
        </w:rPr>
        <w:t>（各专业可根据实际情况作适当调整）</w:t>
      </w:r>
    </w:p>
    <w:tbl>
      <w:tblPr>
        <w:tblStyle w:val="5"/>
        <w:tblW w:w="961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734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b/>
                <w:bCs/>
                <w:szCs w:val="21"/>
              </w:rPr>
            </w:pPr>
            <w:r>
              <w:rPr>
                <w:rStyle w:val="10"/>
                <w:rFonts w:ascii="仿宋" w:hAnsi="仿宋" w:eastAsia="仿宋"/>
                <w:b/>
                <w:bCs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b/>
                <w:bCs/>
                <w:szCs w:val="21"/>
              </w:rPr>
            </w:pPr>
            <w:r>
              <w:rPr>
                <w:rStyle w:val="10"/>
                <w:rFonts w:ascii="仿宋" w:hAnsi="仿宋" w:eastAsia="仿宋"/>
                <w:b/>
                <w:bCs/>
                <w:szCs w:val="21"/>
              </w:rPr>
              <w:t>日程安排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b/>
                <w:bCs/>
                <w:szCs w:val="21"/>
              </w:rPr>
            </w:pPr>
            <w:r>
              <w:rPr>
                <w:rStyle w:val="10"/>
                <w:rFonts w:ascii="仿宋" w:hAnsi="仿宋" w:eastAsia="仿宋"/>
                <w:b/>
                <w:bCs/>
                <w:szCs w:val="21"/>
              </w:rPr>
              <w:t>主要工作内容及要求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7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</w:t>
            </w: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七</w:t>
            </w: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学</w:t>
            </w: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期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</w:t>
            </w:r>
            <w:r>
              <w:rPr>
                <w:rStyle w:val="10"/>
                <w:rFonts w:hint="eastAsia" w:ascii="仿宋" w:hAnsi="仿宋" w:eastAsia="仿宋"/>
                <w:szCs w:val="21"/>
                <w:lang w:val="en-US" w:eastAsia="zh-CN"/>
              </w:rPr>
              <w:t>11</w:t>
            </w:r>
            <w:r>
              <w:rPr>
                <w:rStyle w:val="10"/>
                <w:rFonts w:ascii="仿宋" w:hAnsi="仿宋" w:eastAsia="仿宋"/>
                <w:szCs w:val="21"/>
              </w:rPr>
              <w:t>-1</w:t>
            </w:r>
            <w:r>
              <w:rPr>
                <w:rStyle w:val="10"/>
                <w:rFonts w:hint="eastAsia" w:ascii="仿宋" w:hAnsi="仿宋" w:eastAsia="仿宋"/>
                <w:szCs w:val="21"/>
                <w:lang w:val="en-US" w:eastAsia="zh-CN"/>
              </w:rPr>
              <w:t>2</w:t>
            </w:r>
            <w:r>
              <w:rPr>
                <w:rStyle w:val="10"/>
                <w:rFonts w:ascii="仿宋" w:hAnsi="仿宋" w:eastAsia="仿宋"/>
                <w:szCs w:val="21"/>
              </w:rPr>
              <w:t>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color w:val="FF0000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各二级学院召开指导教师、学生及相关人员的动员大会，提出毕设工作要求，布置毕设工作计划，对企事业合作单位，学生实习单位和校外实践基地等广泛征集毕业设计题目，完成毕设指导教师资格、学生毕设资格的审查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第1</w:t>
            </w:r>
            <w:r>
              <w:rPr>
                <w:rStyle w:val="10"/>
                <w:rFonts w:hint="eastAsia" w:ascii="仿宋" w:hAnsi="仿宋" w:eastAsia="仿宋"/>
                <w:szCs w:val="21"/>
                <w:lang w:val="en-US" w:eastAsia="zh-CN"/>
              </w:rPr>
              <w:t>3</w:t>
            </w:r>
            <w:r>
              <w:rPr>
                <w:rStyle w:val="10"/>
                <w:rFonts w:ascii="仿宋" w:hAnsi="仿宋" w:eastAsia="仿宋"/>
                <w:szCs w:val="21"/>
              </w:rPr>
              <w:t>-1</w:t>
            </w:r>
            <w:r>
              <w:rPr>
                <w:rStyle w:val="10"/>
                <w:rFonts w:hint="eastAsia" w:ascii="仿宋" w:hAnsi="仿宋" w:eastAsia="仿宋"/>
                <w:szCs w:val="21"/>
                <w:lang w:val="en-US" w:eastAsia="zh-CN"/>
              </w:rPr>
              <w:t>4</w:t>
            </w:r>
            <w:r>
              <w:rPr>
                <w:rStyle w:val="10"/>
                <w:rFonts w:ascii="仿宋" w:hAnsi="仿宋" w:eastAsia="仿宋"/>
                <w:szCs w:val="21"/>
              </w:rPr>
              <w:t>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各专业针对征集的选题进行研讨和确认。毕设工作负责人登录毕设管理系统为指导教师分配毕设任务数，指导教师根据分配的任务，完成课题申报工作。毕设工作负责人完成课题审核，并及时做好各阶段过程监控工作。指导教师与学生进行双向选择，确定课题。指导教师向学生下达《任务书》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第1</w:t>
            </w:r>
            <w:r>
              <w:rPr>
                <w:rStyle w:val="10"/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Style w:val="10"/>
                <w:rFonts w:ascii="仿宋" w:hAnsi="仿宋" w:eastAsia="仿宋"/>
                <w:szCs w:val="21"/>
              </w:rPr>
              <w:t>-1</w:t>
            </w:r>
            <w:r>
              <w:rPr>
                <w:rStyle w:val="10"/>
                <w:rFonts w:hint="eastAsia" w:ascii="仿宋" w:hAnsi="仿宋" w:eastAsia="仿宋"/>
                <w:szCs w:val="21"/>
                <w:lang w:val="en-US" w:eastAsia="zh-CN"/>
              </w:rPr>
              <w:t>6</w:t>
            </w:r>
            <w:r>
              <w:rPr>
                <w:rStyle w:val="10"/>
                <w:rFonts w:ascii="仿宋" w:hAnsi="仿宋" w:eastAsia="仿宋"/>
                <w:szCs w:val="21"/>
              </w:rPr>
              <w:t>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学生依据《任务书》要求，在教师指导下完成《开题报告》。指导教师完成《开题报告》的审核。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第1</w:t>
            </w:r>
            <w:r>
              <w:rPr>
                <w:rStyle w:val="10"/>
                <w:rFonts w:hint="eastAsia" w:ascii="仿宋" w:hAnsi="仿宋" w:eastAsia="仿宋"/>
                <w:szCs w:val="21"/>
                <w:lang w:val="en-US" w:eastAsia="zh-CN"/>
              </w:rPr>
              <w:t>7</w:t>
            </w:r>
            <w:r>
              <w:rPr>
                <w:rStyle w:val="10"/>
                <w:rFonts w:ascii="仿宋" w:hAnsi="仿宋" w:eastAsia="仿宋"/>
                <w:szCs w:val="21"/>
              </w:rPr>
              <w:t>-1</w:t>
            </w:r>
            <w:r>
              <w:rPr>
                <w:rStyle w:val="10"/>
                <w:rFonts w:hint="eastAsia" w:ascii="仿宋" w:hAnsi="仿宋" w:eastAsia="仿宋"/>
                <w:szCs w:val="21"/>
                <w:lang w:val="en-US" w:eastAsia="zh-CN"/>
              </w:rPr>
              <w:t>8</w:t>
            </w:r>
            <w:r>
              <w:rPr>
                <w:rStyle w:val="10"/>
                <w:rFonts w:ascii="仿宋" w:hAnsi="仿宋" w:eastAsia="仿宋"/>
                <w:szCs w:val="21"/>
              </w:rPr>
              <w:t>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开题检查。要求所有学生参加开题答辩检查。毕设工作负责人安排开题答辩分组（含人员分组、答辩时间和地点等）。邀请校外指导教师共同参加开题答辩工作。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第1</w:t>
            </w:r>
            <w:r>
              <w:rPr>
                <w:rStyle w:val="10"/>
                <w:rFonts w:hint="eastAsia" w:ascii="仿宋" w:hAnsi="仿宋" w:eastAsia="仿宋"/>
                <w:szCs w:val="21"/>
                <w:lang w:val="en-US" w:eastAsia="zh-CN"/>
              </w:rPr>
              <w:t>9</w:t>
            </w:r>
            <w:r>
              <w:rPr>
                <w:rStyle w:val="10"/>
                <w:rFonts w:ascii="仿宋" w:hAnsi="仿宋" w:eastAsia="仿宋"/>
                <w:szCs w:val="21"/>
              </w:rPr>
              <w:t>-20</w:t>
            </w:r>
            <w:bookmarkStart w:id="0" w:name="_GoBack"/>
            <w:bookmarkEnd w:id="0"/>
            <w:r>
              <w:rPr>
                <w:rStyle w:val="10"/>
                <w:rFonts w:ascii="仿宋" w:hAnsi="仿宋" w:eastAsia="仿宋"/>
                <w:szCs w:val="21"/>
              </w:rPr>
              <w:t>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教师指导学生进行毕业设计。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6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2D050"/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寒假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</w:t>
            </w: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八</w:t>
            </w: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学</w:t>
            </w: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期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第1-6周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教师指导学生进行毕业设计。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7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第7-8周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中期检查。原则上要求所有学生在校接受中期检查。毕设工作负责人安排中期答辩分组（含人员分组、答辩时间和地点等）。邀请校外指导教师共同参加中期检查工作。教务处将在各专业自查的基础上，组织学校专家组进行督察。各专业（系）依据中期答辩情况确定毕业作品展内容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第9-10周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教师指导学生进行毕业设计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（论文）</w:t>
            </w:r>
            <w:r>
              <w:rPr>
                <w:rStyle w:val="10"/>
                <w:rFonts w:ascii="仿宋" w:hAnsi="仿宋" w:eastAsia="仿宋"/>
                <w:szCs w:val="21"/>
              </w:rPr>
              <w:t>,直至论文初稿。各二级学院完成毕业作品展的材料收集和整理工作，将材料提交教务处，完成毕业作品展宣传准备工作。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第11-12周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学生完成毕业设计（论文）工作，将所有毕设成果（含论文、作品等）提交到毕设系统。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学院</w:t>
            </w:r>
            <w:r>
              <w:rPr>
                <w:rStyle w:val="10"/>
                <w:rFonts w:ascii="仿宋" w:hAnsi="仿宋" w:eastAsia="仿宋"/>
                <w:szCs w:val="21"/>
              </w:rPr>
              <w:t>组织毕业设计（论文）评阅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及学院层面质量抽检工作</w:t>
            </w:r>
            <w:r>
              <w:rPr>
                <w:rStyle w:val="10"/>
                <w:rFonts w:ascii="仿宋" w:hAnsi="仿宋" w:eastAsia="仿宋"/>
                <w:szCs w:val="21"/>
              </w:rPr>
              <w:t>，完成学生答辩资格审查，并将取消答辩资格的学生名单报教务处。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第13-14周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各专业组织答辩，提前将人员分组、答辩时间和地点等信息报教务处审批后方可开始。各专业完成毕设文件归档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，</w:t>
            </w:r>
            <w:r>
              <w:rPr>
                <w:rStyle w:val="10"/>
                <w:rFonts w:ascii="仿宋" w:hAnsi="仿宋" w:eastAsia="仿宋"/>
                <w:szCs w:val="21"/>
              </w:rPr>
              <w:t>并提交答辩成绩。教务处组织学校专家组进行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毕业</w:t>
            </w:r>
            <w:r>
              <w:rPr>
                <w:rStyle w:val="10"/>
                <w:rFonts w:ascii="仿宋" w:hAnsi="仿宋" w:eastAsia="仿宋"/>
                <w:szCs w:val="21"/>
              </w:rPr>
              <w:t>答辩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检查</w:t>
            </w:r>
            <w:r>
              <w:rPr>
                <w:rStyle w:val="10"/>
                <w:rFonts w:ascii="仿宋" w:hAnsi="仿宋" w:eastAsia="仿宋"/>
                <w:szCs w:val="21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第15-16周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举办校内外本科毕业设计作品联展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；</w:t>
            </w:r>
            <w:r>
              <w:rPr>
                <w:rStyle w:val="10"/>
                <w:rFonts w:ascii="仿宋" w:hAnsi="仿宋" w:eastAsia="仿宋"/>
                <w:szCs w:val="21"/>
              </w:rPr>
              <w:t>各专业提交毕设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论</w:t>
            </w:r>
            <w:r>
              <w:rPr>
                <w:rStyle w:val="10"/>
                <w:rFonts w:ascii="仿宋" w:hAnsi="仿宋" w:eastAsia="仿宋"/>
                <w:szCs w:val="21"/>
              </w:rPr>
              <w:t>文终稿，学校组织校内外专家对毕业论文进行抽检。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第17周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 xml:space="preserve">公布结果，专业将认定为“存在问题毕业论文”的毕业设计（论文）成绩记为“不及格”。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jc w:val="center"/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第1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8-19</w:t>
            </w:r>
            <w:r>
              <w:rPr>
                <w:rStyle w:val="10"/>
                <w:rFonts w:ascii="仿宋" w:hAnsi="仿宋" w:eastAsia="仿宋"/>
                <w:szCs w:val="21"/>
              </w:rPr>
              <w:t>周</w:t>
            </w:r>
          </w:p>
        </w:tc>
        <w:tc>
          <w:tcPr>
            <w:tcW w:w="7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50"/>
              </w:tabs>
              <w:rPr>
                <w:rStyle w:val="10"/>
                <w:rFonts w:ascii="仿宋" w:hAnsi="仿宋" w:eastAsia="仿宋"/>
                <w:szCs w:val="21"/>
              </w:rPr>
            </w:pPr>
            <w:r>
              <w:rPr>
                <w:rStyle w:val="10"/>
                <w:rFonts w:ascii="仿宋" w:hAnsi="仿宋" w:eastAsia="仿宋"/>
                <w:szCs w:val="21"/>
              </w:rPr>
              <w:t>各二级学院开展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校级论文评优工作、</w:t>
            </w:r>
            <w:r>
              <w:rPr>
                <w:rStyle w:val="10"/>
                <w:rFonts w:ascii="仿宋" w:hAnsi="仿宋" w:eastAsia="仿宋"/>
                <w:szCs w:val="21"/>
              </w:rPr>
              <w:t>毕业设计工作总结会</w:t>
            </w:r>
            <w:r>
              <w:rPr>
                <w:rStyle w:val="10"/>
                <w:rFonts w:hint="eastAsia" w:ascii="仿宋" w:hAnsi="仿宋" w:eastAsia="仿宋"/>
                <w:szCs w:val="21"/>
              </w:rPr>
              <w:t>及各类材料的整理归档工作。</w:t>
            </w:r>
          </w:p>
        </w:tc>
      </w:tr>
    </w:tbl>
    <w:p>
      <w:pPr>
        <w:spacing w:line="360" w:lineRule="auto"/>
        <w:rPr>
          <w:rStyle w:val="10"/>
          <w:rFonts w:ascii="仿宋" w:hAnsi="仿宋" w:eastAsia="仿宋"/>
          <w:color w:val="000000"/>
          <w:sz w:val="24"/>
        </w:rPr>
      </w:pPr>
    </w:p>
    <w:sectPr>
      <w:footerReference r:id="rId3" w:type="even"/>
      <w:pgSz w:w="11907" w:h="16840"/>
      <w:pgMar w:top="1134" w:right="1134" w:bottom="1134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center" w:y="1"/>
      <w:rPr>
        <w:rStyle w:val="13"/>
      </w:rPr>
    </w:pPr>
  </w:p>
  <w:p>
    <w:pPr>
      <w:pStyle w:val="3"/>
      <w:rPr>
        <w:rStyle w:val="1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lODU1MmM5NzY4MTg0YzMzOWQxMWQ2MTkyOTE4YTYifQ=="/>
  </w:docVars>
  <w:rsids>
    <w:rsidRoot w:val="00231A10"/>
    <w:rsid w:val="0000412A"/>
    <w:rsid w:val="00050A7B"/>
    <w:rsid w:val="00117E16"/>
    <w:rsid w:val="00137D3B"/>
    <w:rsid w:val="001B7CB4"/>
    <w:rsid w:val="001C355F"/>
    <w:rsid w:val="00231A10"/>
    <w:rsid w:val="0025736C"/>
    <w:rsid w:val="003250F4"/>
    <w:rsid w:val="00385A5D"/>
    <w:rsid w:val="003B6AB7"/>
    <w:rsid w:val="00433FCA"/>
    <w:rsid w:val="00442316"/>
    <w:rsid w:val="004F6431"/>
    <w:rsid w:val="00521EE6"/>
    <w:rsid w:val="00582F92"/>
    <w:rsid w:val="005B1B89"/>
    <w:rsid w:val="00604528"/>
    <w:rsid w:val="00665F42"/>
    <w:rsid w:val="006A63E1"/>
    <w:rsid w:val="006D0B7C"/>
    <w:rsid w:val="00704C34"/>
    <w:rsid w:val="0073546E"/>
    <w:rsid w:val="007C364B"/>
    <w:rsid w:val="0081115B"/>
    <w:rsid w:val="00854118"/>
    <w:rsid w:val="0089770F"/>
    <w:rsid w:val="00902414"/>
    <w:rsid w:val="00911F9E"/>
    <w:rsid w:val="00960C7F"/>
    <w:rsid w:val="00A510CA"/>
    <w:rsid w:val="00A812CF"/>
    <w:rsid w:val="00AC1617"/>
    <w:rsid w:val="00AE7C41"/>
    <w:rsid w:val="00B75A56"/>
    <w:rsid w:val="00C83D87"/>
    <w:rsid w:val="00C9435F"/>
    <w:rsid w:val="00CA1685"/>
    <w:rsid w:val="00D11398"/>
    <w:rsid w:val="00DC4FDA"/>
    <w:rsid w:val="00EA3CE5"/>
    <w:rsid w:val="00FB635F"/>
    <w:rsid w:val="045862BA"/>
    <w:rsid w:val="10B742C6"/>
    <w:rsid w:val="17F7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rFonts w:cs="Times New Roman"/>
      <w:b/>
      <w:bCs/>
    </w:rPr>
  </w:style>
  <w:style w:type="character" w:styleId="8">
    <w:name w:val="Hyperlink"/>
    <w:qFormat/>
    <w:uiPriority w:val="0"/>
    <w:rPr>
      <w:color w:val="64483C"/>
    </w:rPr>
  </w:style>
  <w:style w:type="paragraph" w:customStyle="1" w:styleId="9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sz w:val="32"/>
      <w:szCs w:val="32"/>
    </w:rPr>
  </w:style>
  <w:style w:type="character" w:customStyle="1" w:styleId="10">
    <w:name w:val="NormalCharacter"/>
    <w:semiHidden/>
    <w:qFormat/>
    <w:uiPriority w:val="0"/>
  </w:style>
  <w:style w:type="table" w:customStyle="1" w:styleId="11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BodyText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13">
    <w:name w:val="PageNumber"/>
    <w:basedOn w:val="10"/>
    <w:qFormat/>
    <w:uiPriority w:val="0"/>
  </w:style>
  <w:style w:type="paragraph" w:customStyle="1" w:styleId="14">
    <w:name w:val="PlainText"/>
    <w:basedOn w:val="1"/>
    <w:uiPriority w:val="0"/>
    <w:rPr>
      <w:rFonts w:ascii="宋体" w:hAnsi="Courier New"/>
      <w:szCs w:val="21"/>
    </w:rPr>
  </w:style>
  <w:style w:type="table" w:customStyle="1" w:styleId="15">
    <w:name w:val="TableGrid"/>
    <w:basedOn w:val="11"/>
    <w:qFormat/>
    <w:uiPriority w:val="0"/>
  </w:style>
  <w:style w:type="paragraph" w:customStyle="1" w:styleId="16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161</Words>
  <Characters>921</Characters>
  <Lines>7</Lines>
  <Paragraphs>2</Paragraphs>
  <TotalTime>32</TotalTime>
  <ScaleCrop>false</ScaleCrop>
  <LinksUpToDate>false</LinksUpToDate>
  <CharactersWithSpaces>1080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2021-11-05T02:48:00Z</dcterms:created>
  <dc:creator>Administrator</dc:creator>
  <cp:lastModifiedBy>admin</cp:lastModifiedBy>
  <dcterms:modified xsi:type="dcterms:W3CDTF">2023-11-15T01:35:10Z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A93184D286DA48B8A384D4B0B6AB24F9</vt:lpwstr>
  </property>
</Properties>
</file>